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А вечір пролітає, наче крижень...</w:t>
      </w:r>
    </w:p>
    <w:p>
      <w:r>
        <w:br/>
        <w:t xml:space="preserve"> А вечір пролітає, наче крижень,&lt;br /&gt;</w:t>
        <w:br/>
        <w:t>черкнувши місто синіми крильми.&lt;br /&gt;</w:t>
        <w:br/>
        <w:t>У непритомне полум'я наближень&lt;br /&gt;</w:t>
        <w:br/>
        <w:t>ми вже йдемо, покірніші, як ми.&lt;br /&gt;</w:t>
        <w:br/>
        <w:t>Це як гіпноз, як магія безодні,&lt;br /&gt;</w:t>
        <w:br/>
        <w:t>як струм жаги, що в голосі болів,&lt;br /&gt;</w:t>
        <w:br/>
        <w:t>коли вуста пекучі, аж холодні,&lt;br /&gt;</w:t>
        <w:br/>
        <w:t>уже не здатні вимовити слів.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 вечір пролітає, наче крижень...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