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Читаючи книгу, славетний життєпис...</w:t>
      </w:r>
    </w:p>
    <w:p>
      <w:r>
        <w:br/>
        <w:t xml:space="preserve"> Читаючи книгу, славетний життєпис,&lt;br /&gt;</w:t>
        <w:br/>
        <w:t>Чи це (я питаю) зве автор життям людини?&lt;br /&gt;</w:t>
        <w:br/>
        <w:t>Чи так, уже після моєї смерті, хтось і про мене напише?&lt;br /&gt;</w:t>
        <w:br/>
        <w:t>(Начебто хтось може знати по-справжньому хоч дещо&lt;br /&gt;</w:t>
        <w:br/>
        <w:t>про мене,&lt;br /&gt;</w:t>
        <w:br/>
        <w:t>Коли навіть я думаю часто, що сам не знаю нічого, чи майже&lt;br /&gt;</w:t>
        <w:br/>
        <w:t>нічого про себе —&lt;br /&gt;</w:t>
        <w:br/>
        <w:t>Тільки декілька натяків, невиразних, непевних свідчень і рис,&lt;br /&gt;</w:t>
        <w:br/>
        <w:t>Яких сам я дошукуюсь, аби тут їх окреслити.)&lt;br /&gt;</w:t>
        <w:br/>
        <w:t>1867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Читаючи книгу, славетний життєпис...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