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тривоги життьової...</w:t>
      </w:r>
    </w:p>
    <w:p>
      <w:r>
        <w:br/>
        <w:t xml:space="preserve"> Коли тривоги життьової&lt;br /&gt;</w:t>
        <w:br/>
        <w:t>Тебе підхопить вітер злий,&lt;br /&gt;</w:t>
        <w:br/>
        <w:t>По вінця сили трудової&lt;br /&gt;</w:t>
        <w:br/>
        <w:t>У серце стомлене налий.</w:t>
      </w:r>
    </w:p>
    <w:p>
      <w:r>
        <w:br/>
        <w:t>Нехай не виє самотина,&lt;br /&gt;</w:t>
        <w:br/>
        <w:t>Як чорний пес за ворітьми!&lt;br /&gt;</w:t>
        <w:br/>
        <w:t>Скажи крізь муку: я людина!&lt;br /&gt;</w:t>
        <w:br/>
        <w:t>Зрадій крізь горе: я з людьми!</w:t>
      </w:r>
    </w:p>
    <w:p>
      <w:r>
        <w:br/>
        <w:t>20 вересня 1952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тривоги життьової...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