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Корчма</w:t>
      </w:r>
    </w:p>
    <w:p>
      <w:r>
        <w:br/>
        <w:t xml:space="preserve"> Про дівчат і про купців&lt;br /&gt;</w:t>
        <w:br/>
        <w:t>оповідає давня повість.&lt;br /&gt;</w:t>
        <w:br/>
        <w:t>Крилата чарка у руці,&lt;br /&gt;</w:t>
        <w:br/>
        <w:t>жага і трунок гусне в крові.</w:t>
      </w:r>
    </w:p>
    <w:p>
      <w:r>
        <w:br/>
        <w:t>Червінці дзвонять на столі,&lt;br /&gt;</w:t>
        <w:br/>
        <w:t>і місяць – найхмільніший келих.&lt;br /&gt;</w:t>
        <w:br/>
        <w:t>Схилився вечір до землі&lt;br /&gt;</w:t>
        <w:br/>
        <w:t>і срібним сяйвом ріки стелить.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Корчма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