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Краса у вигнанні</w:t>
      </w:r>
    </w:p>
    <w:p>
      <w:r>
        <w:br/>
        <w:t xml:space="preserve"> Тікай веселко-ворожбитко&lt;br /&gt;</w:t>
        <w:br/>
        <w:t>Тікайте гожі кольори&lt;br /&gt;</w:t>
        <w:br/>
        <w:t>Сховатись мусиш ти і швидко&lt;br /&gt;</w:t>
        <w:br/>
        <w:t>Мене інфанто не кори</w:t>
      </w:r>
    </w:p>
    <w:p>
      <w:r>
        <w:br/>
        <w:t>I вже веселка у вигнанні&lt;br /&gt;</w:t>
        <w:br/>
        <w:t>I той хто міг її створить&lt;br /&gt;</w:t>
        <w:br/>
        <w:t>Але поглянь на вітрі рвянім&lt;br /&gt;</w:t>
        <w:br/>
        <w:t>Натомість прапор майорить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Краса у вигнанні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