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Мораль</w:t>
      </w:r>
    </w:p>
    <w:p>
      <w:r>
        <w:br/>
        <w:t xml:space="preserve"> Дні рицарства давно пройшли.&lt;br /&gt;</w:t>
        <w:br/>
        <w:t>Голодні коні та осли&lt;br /&gt;</w:t>
        <w:br/>
        <w:t>Удосталь мають — бідне бидло! —&lt;br /&gt;</w:t>
        <w:br/>
        <w:t>Вівса й сінця собі на їдло.</w:t>
      </w:r>
    </w:p>
    <w:p>
      <w:r>
        <w:br/>
        <w:t>1855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