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Ніч... а човен — як срібний птах...</w:t>
      </w:r>
    </w:p>
    <w:p>
      <w:r>
        <w:br/>
        <w:t xml:space="preserve"> Ніч... а човен — як срібний птах!..&lt;br /&gt;</w:t>
        <w:br/>
        <w:t>(Що слова, коли серце повне!)&lt;br /&gt;</w:t>
        <w:br/>
        <w:t>...Не спіши, не лети по сяйних світах,&lt;br /&gt;</w:t>
        <w:br/>
        <w:t>Мій малий ненадійний човне!&lt;br /&gt;</w:t>
        <w:br/>
        <w:t>І над нами, й під нами горять світи...&lt;br /&gt;</w:t>
        <w:br/>
        <w:t>І внизу, і вгорі глибини...&lt;br /&gt;</w:t>
        <w:br/>
        <w:t>О, який же прекрасний ти,&lt;br /&gt;</w:t>
        <w:br/>
        <w:t>Світе єдиний!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Ніч... а човен — як срібний птах...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