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Пташка</w:t>
      </w:r>
    </w:p>
    <w:p>
      <w:r>
        <w:br/>
        <w:t xml:space="preserve"> "Про що, пташко, нам співаєш&lt;br /&gt;</w:t>
        <w:br/>
        <w:t>Пісню голосну?" —&lt;br /&gt;</w:t>
        <w:br/>
        <w:t>"Я співаю всьому світу&lt;br /&gt;</w:t>
        <w:br/>
        <w:t>Пісню про весну.</w:t>
      </w:r>
    </w:p>
    <w:p>
      <w:r>
        <w:br/>
        <w:t>Про її квітки пахучі,&lt;br /&gt;</w:t>
        <w:br/>
        <w:t>Про сади, гаї...&lt;br /&gt;</w:t>
        <w:br/>
        <w:t>Раджу я і вам співати,&lt;br /&gt;</w:t>
        <w:br/>
        <w:t>Дітоньки мої".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