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Рай</w:t>
      </w:r>
    </w:p>
    <w:p>
      <w:r>
        <w:br/>
        <w:t xml:space="preserve"> Моляться соняшники.</w:t>
      </w:r>
    </w:p>
    <w:p>
      <w:r>
        <w:br/>
        <w:t>Грім на хмарі Біблію читає...&lt;br /&gt;</w:t>
        <w:br/>
        <w:t>тополя пошепки: страшний який&lt;br /&gt;</w:t>
        <w:br/>
        <w:t>твій плачі Ісаіє!</w:t>
      </w:r>
    </w:p>
    <w:p>
      <w:r>
        <w:br/>
        <w:t>Моляться соняшники.</w:t>
      </w:r>
    </w:p>
    <w:p>
      <w:r>
        <w:br/>
        <w:t>Голод. Мати немовля вбиває...&lt;br /&gt;</w:t>
        <w:br/>
        <w:t>тополя закричала: он який&lt;br /&gt;</w:t>
        <w:br/>
        <w:t>мій рай, Ісаіє!</w:t>
      </w:r>
    </w:p>
    <w:p>
      <w:r>
        <w:br/>
        <w:t>("Білий світ", 1947)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