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Сніг</w:t>
      </w:r>
    </w:p>
    <w:p>
      <w:r>
        <w:br/>
        <w:t xml:space="preserve"> Над горою над Батневою — ніч,&lt;br /&gt;</w:t>
        <w:br/>
        <w:t>над горою над Батневою — сон.&lt;br /&gt;</w:t>
        <w:br/>
        <w:t>Найчистіший в світі перший сніг,&lt;br /&gt;</w:t>
        <w:br/>
        <w:t>наче мармуровий Аполлон,&lt;br /&gt;</w:t>
        <w:br/>
        <w:t>між землею й небом напина&lt;br /&gt;</w:t>
        <w:br/>
        <w:t>срібляні тятиви лір своїх,&lt;br /&gt;</w:t>
        <w:br/>
        <w:t>скуштувавши русичів вина,&lt;br /&gt;</w:t>
        <w:br/>
        <w:t>забавляє грою тепер їх...</w:t>
      </w:r>
    </w:p>
    <w:p>
      <w:r>
        <w:br/>
        <w:t>Над горою над Батневою — ніч,&lt;br /&gt;</w:t>
        <w:br/>
        <w:t>над горою над Батневою — сон...&lt;br /&gt;</w:t>
        <w:br/>
        <w:t>1967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Сніг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