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Свіжа зелень розгойдалась...</w:t>
      </w:r>
    </w:p>
    <w:p>
      <w:r>
        <w:br/>
        <w:t xml:space="preserve"> * * *</w:t>
      </w:r>
    </w:p>
    <w:p>
      <w:r>
        <w:br/>
        <w:t>Свіжа зелень розгойдалась,&lt;br /&gt;</w:t>
        <w:br/>
        <w:t>Розгулялась, поплила.&lt;br /&gt;</w:t>
        <w:br/>
        <w:t>Перші краплі засміялись&lt;br /&gt;</w:t>
        <w:br/>
        <w:t>До голодного зела.</w:t>
      </w:r>
    </w:p>
    <w:p>
      <w:r>
        <w:br/>
        <w:t>Голуби летять у сховок,&lt;br /&gt;</w:t>
        <w:br/>
        <w:t>І в тіснім голубнику&lt;br /&gt;</w:t>
        <w:br/>
        <w:t>Ряд округлих їх головок&lt;br /&gt;</w:t>
        <w:br/>
        <w:t>Як намисто на разку.</w:t>
      </w:r>
    </w:p>
    <w:p>
      <w:r>
        <w:br/>
        <w:t>28 квітня 1926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Свіжа зелень розгойдалась...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