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Травень</w:t>
      </w:r>
    </w:p>
    <w:p>
      <w:r>
        <w:br/>
        <w:t xml:space="preserve"> В травні трави молоді,&lt;br /&gt;</w:t>
        <w:br/>
        <w:t>Ніби хвилі по воді,&lt;br /&gt;</w:t>
        <w:br/>
        <w:t>Розливаються широко,&lt;br /&gt;</w:t>
        <w:br/>
        <w:t>Аж радіє наше око.</w:t>
      </w:r>
    </w:p>
    <w:p>
      <w:r>
        <w:br/>
        <w:t>В травні — праця на полях,&lt;br /&gt;</w:t>
        <w:br/>
        <w:t>На городах, у садках:&lt;br /&gt;</w:t>
        <w:br/>
        <w:t>Праця з піснею дзвінкою,&lt;br /&gt;</w:t>
        <w:br/>
        <w:t>Як сестра живе з сестрою...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