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</w:t>
      </w:r>
    </w:p>
    <w:p>
      <w:r>
        <w:br/>
        <w:t xml:space="preserve"> Палає, друзі, в нас війна,&lt;br /&gt;</w:t>
        <w:br/>
        <w:t>І кличе стяг за честь устати.&lt;br /&gt;</w:t>
        <w:br/>
        <w:t>Скликає сурмою вона&lt;br /&gt;</w:t>
        <w:br/>
        <w:t>В поля кривавої відплати.&lt;br /&gt;</w:t>
        <w:br/>
        <w:t>Прощайте, бенкети гучні,&lt;br /&gt;</w:t>
        <w:br/>
        <w:t>І ви, хвали достойні, співи,&lt;br /&gt;</w:t>
        <w:br/>
        <w:t>І Вакхові дари ясні,&lt;br /&gt;</w:t>
        <w:br/>
        <w:t>Святая Русь і красні діви!&lt;br /&gt;</w:t>
        <w:br/>
        <w:t>Забуду я тебе, любов,&lt;br /&gt;</w:t>
        <w:br/>
        <w:t>Бентежні юності забави,&lt;br /&gt;</w:t>
        <w:br/>
        <w:t>І полечу я, вільний, знов&lt;br /&gt;</w:t>
        <w:br/>
        <w:t>Ловить вінок довічний слави.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