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Вишні</w:t>
      </w:r>
    </w:p>
    <w:p>
      <w:r>
        <w:br/>
        <w:t xml:space="preserve"> Антонич був хрущем і жив колись на вишнях,&lt;br /&gt;</w:t>
        <w:br/>
        <w:t>на вишнях тих, що їх оспівував Шевченко.&lt;br /&gt;</w:t>
        <w:br/>
        <w:t>Моя країно зоряна, біблійна й пишна,&lt;br /&gt;</w:t>
        <w:br/>
        <w:t>квітчаста батьківщино вишні й соловейка!</w:t>
      </w:r>
    </w:p>
    <w:p>
      <w:r>
        <w:br/>
        <w:t>Де вечори з євангелії, де світанки,&lt;br /&gt;</w:t>
        <w:br/>
        <w:t>де небо сонцем привалило білі села,&lt;br /&gt;</w:t>
        <w:br/>
        <w:t>цвітуть натхненні вишні кучеряво й п’янко,&lt;br /&gt;</w:t>
        <w:br/>
        <w:t>як за Шевченка, знову поять пісню хмелем.</w:t>
      </w:r>
    </w:p>
    <w:p>
      <w:r>
        <w:br/>
        <w:t>16 квітня 1935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Вишні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