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Задзвени із глибини</w:t>
      </w:r>
    </w:p>
    <w:p>
      <w:r>
        <w:br/>
        <w:t xml:space="preserve"> Задзвени із глибини&lt;br /&gt;</w:t>
        <w:br/>
        <w:t>Тихої печалі,&lt;br /&gt;</w:t>
        <w:br/>
        <w:t>Мила пісенька весни, —&lt;br /&gt;</w:t>
        <w:br/>
        <w:t>Линь все далі й далі!&lt;br /&gt;</w:t>
        <w:br/>
        <w:t>Линь, дзвени, знайди той дім,&lt;br /&gt;</w:t>
        <w:br/>
        <w:t>В квітах сад зелений,&lt;br /&gt;</w:t>
        <w:br/>
        <w:t>І троянду перед ним&lt;br /&gt;</w:t>
        <w:br/>
        <w:t>Привітай від мене.&lt;br /&gt;</w:t>
        <w:br/>
        <w:t>&lt;blockquote class="cita" style='text-align:left'&gt;Переклад Леоніда Первомайського&lt;/blockquote&gt;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Задзвени із глибини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