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Заклики</w:t>
      </w:r>
    </w:p>
    <w:p>
      <w:r>
        <w:br/>
        <w:t xml:space="preserve"> Біля ферми на стовпах&lt;br /&gt;</w:t>
        <w:br/>
        <w:t>Почепили гасла:&lt;br /&gt;</w:t>
        <w:br/>
        <w:t>"Дати більше молока!"&lt;br /&gt;</w:t>
        <w:br/>
        <w:t>"Дати більше масла!"&lt;br /&gt;</w:t>
        <w:br/>
        <w:t>І ревуть корови:&lt;br /&gt;</w:t>
        <w:br/>
        <w:t>— Му-у-у!&lt;br /&gt;</w:t>
        <w:br/>
        <w:t>Даємо, але ком-му-у-у?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