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Журавель</w:t>
      </w:r>
    </w:p>
    <w:p>
      <w:r>
        <w:br/>
        <w:t xml:space="preserve"> За народними мотивами</w:t>
      </w:r>
    </w:p>
    <w:p>
      <w:r>
        <w:br/>
        <w:t>Журавель для баранця&lt;br /&gt;</w:t>
        <w:br/>
        <w:t>Накосив стіжок сінця&lt;br /&gt;</w:t>
        <w:br/>
        <w:t>Та й майструє ясельця,&lt;br /&gt;</w:t>
        <w:br/>
        <w:t>Не собі — для баранця.&lt;br /&gt;</w:t>
        <w:br/>
        <w:t>Хай баранчик — добрий гість —&lt;br /&gt;</w:t>
        <w:br/>
        <w:t>Із яселець сіно їсть,&lt;br /&gt;</w:t>
        <w:br/>
        <w:t>Хай не смикає він стіг,&lt;br /&gt;</w:t>
        <w:br/>
        <w:t>Бо зламати може 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