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Чарки</w:t>
      </w:r>
    </w:p>
    <w:p>
      <w:r>
        <w:br/>
        <w:t xml:space="preserve"> Зелений ясень, серп і коні.&lt;br /&gt;</w:t>
        <w:br/>
        <w:t>Прилипнув хлопець до вікна.&lt;br /&gt;</w:t>
        <w:br/>
        <w:t>В чарки сріблисті і червоні&lt;br /&gt;</w:t>
        <w:br/>
        <w:t>поналивалася весна.</w:t>
      </w:r>
    </w:p>
    <w:p>
      <w:r>
        <w:br/>
        <w:t>І хочеться хлопчині конче&lt;br /&gt;</w:t>
        <w:br/>
        <w:t>від весняних воріт ключа.&lt;br /&gt;</w:t>
        <w:br/>
        <w:t>З трави неждано скочить сонце,&lt;br /&gt;</w:t>
        <w:br/>
        <w:t>немов сполохане лоша.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