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Давній мотив</w:t>
      </w:r>
    </w:p>
    <w:p>
      <w:r>
        <w:br/>
        <w:t xml:space="preserve"> Там хата білена, й осніжені каштани,&lt;br /&gt;</w:t>
        <w:br/>
        <w:t>і місяць, наче сторож, ходить коло хати.&lt;br /&gt;</w:t>
        <w:br/>
        <w:t>Це не сторінка з давнього роману,&lt;br /&gt;</w:t>
        <w:br/>
        <w:t>це спомин хлопця, що не вмів кохати.</w:t>
      </w:r>
    </w:p>
    <w:p>
      <w:r>
        <w:br/>
        <w:t>Мов дві гілки ліщини, розійшлись дороги,&lt;br /&gt;</w:t>
        <w:br/>
        <w:t>і вечір сині тіні кидає на воду.&lt;br /&gt;</w:t>
        <w:br/>
        <w:t>Окремо в бурях пристрасті й знемоги&lt;br /&gt;</w:t>
        <w:br/>
        <w:t>п'ємо життя печальну насолоду.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Давній 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