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моєї пісні</w:t>
      </w:r>
    </w:p>
    <w:p>
      <w:r>
        <w:br/>
        <w:t xml:space="preserve"> До моєї пісні</w:t>
      </w:r>
    </w:p>
    <w:p>
      <w:r>
        <w:br/>
        <w:t>Крутиться світ весняний і зелений.&lt;br /&gt;</w:t>
        <w:br/>
        <w:t>Ясень співає, і серце співа.&lt;br /&gt;</w:t>
        <w:br/>
        <w:t>Пісня натхненним кружля веретеном,&lt;br /&gt;</w:t>
        <w:br/>
        <w:t>на веретені срібляться слова.</w:t>
      </w:r>
    </w:p>
    <w:p>
      <w:r>
        <w:br/>
        <w:t>Ясень, осяяний сонцем, упився,&lt;br /&gt;</w:t>
        <w:br/>
        <w:t>перстень натхнення на серці тремтить.&lt;br /&gt;</w:t>
        <w:br/>
        <w:t>Гей же, п'яній, і лети, і крутися,&lt;br /&gt;</w:t>
        <w:br/>
        <w:t>пісне моїх двадцятьох і трьох літ!</w:t>
      </w:r>
    </w:p>
    <w:p>
      <w:r>
        <w:br/>
        <w:t>Неділя, 21 травня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моєї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