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плачучої леді</w:t>
      </w:r>
    </w:p>
    <w:p>
      <w:r>
        <w:br/>
        <w:t xml:space="preserve"> Плач, королівно! Батьків гріх&lt;br /&gt;</w:t>
        <w:br/>
        <w:t>Упав на край. Якби ж слізьми ти&lt;br /&gt;</w:t>
        <w:br/>
        <w:t>Для визволу страждених всіх&lt;br /&gt;</w:t>
        <w:br/>
        <w:t>Могла вину отецьку змити!</w:t>
      </w:r>
    </w:p>
    <w:p>
      <w:r>
        <w:br/>
        <w:t>Плач! Одверни від нас напасть&lt;br /&gt;</w:t>
        <w:br/>
        <w:t>Сльозами, і тобі ласкаво&lt;br /&gt;</w:t>
        <w:br/>
        <w:t>Народ усмішкою воздасть&lt;br /&gt;</w:t>
        <w:br/>
        <w:t>За кожну слізоньку криваву.</w:t>
      </w:r>
    </w:p>
    <w:p>
      <w:r>
        <w:br/>
        <w:t>Березень 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плачучої леді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