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товариші</w:t>
      </w:r>
    </w:p>
    <w:p>
      <w:r>
        <w:br/>
        <w:t xml:space="preserve"> &lt;p&gt;Ішли лісом два товариші, і вискочив супроти них ведмідь. Один кинувся навтьоки, видерся на дерево й заховався, а другий залишився на дорозі. Робити йому було нічого,— він упав на землю й удав з себе мертвого.</w:t>
      </w:r>
    </w:p>
    <w:p>
      <w:r>
        <w:br/>
        <w:t>Ведмідь підійшов до нього й почав нюхати: той і дихати перестав.</w:t>
      </w:r>
    </w:p>
    <w:p>
      <w:r>
        <w:br/>
        <w:t>Ведмідь понюхав йому обличчя, подумав, що мертвий, і відійшов.</w:t>
      </w:r>
    </w:p>
    <w:p>
      <w:r>
        <w:br/>
        <w:t>Коли ведмідь пішов, хлопець зліз з дерева і сміється: "Ну що,— каже,— ведмідь тобі на вухо говорив?"</w:t>
      </w:r>
    </w:p>
    <w:p>
      <w:r>
        <w:br/>
        <w:t>"А він сказав мені, що погані ті люди, які в небезпеці від товаришів тікають".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товариші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