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Експромт у відповідь другові</w:t>
      </w:r>
    </w:p>
    <w:p>
      <w:r>
        <w:br/>
        <w:t xml:space="preserve"> Коли із дна душі незборне&lt;br /&gt;</w:t>
        <w:br/>
        <w:t>Тужіння виповзе надвір&lt;br /&gt;</w:t>
        <w:br/>
        <w:t>І вираз мій у тінь огорне,&lt;br /&gt;</w:t>
        <w:br/>
        <w:t>Потьмить чоло й заповнить зір,&lt;br /&gt;</w:t>
        <w:br/>
        <w:t>Не бідкайся! Свою оселю&lt;br /&gt;</w:t>
        <w:br/>
        <w:t>Моя скорбота добре зна:&lt;br /&gt;</w:t>
        <w:br/>
        <w:t>В грудей безмовне підземелля&lt;br /&gt;</w:t>
        <w:br/>
        <w:t>Назад повернеться вона.</w:t>
      </w:r>
    </w:p>
    <w:p>
      <w:r>
        <w:br/>
        <w:t>Вересень 1813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Експромт у відповідь другові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