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Гали</w:t>
      </w:r>
    </w:p>
    <w:p>
      <w:r>
        <w:br/>
        <w:t xml:space="preserve"> О, невмолимі скам'янілі дні,&lt;br /&gt;</w:t>
        <w:br/>
        <w:t>Міцна рука над людьми і богами&lt;br /&gt;</w:t>
        <w:br/>
        <w:t>...Чигає там, у сірій далині,&lt;br /&gt;</w:t>
        <w:br/>
        <w:t>Лягає горами за нами.</w:t>
      </w:r>
    </w:p>
    <w:p>
      <w:r>
        <w:br/>
        <w:t>Ми подолаєм знов. Ще не одні&lt;br /&gt;</w:t>
        <w:br/>
        <w:t>Нам скоряться. Над все є вірна криця&lt;br /&gt;</w:t>
        <w:br/>
        <w:t>Та нам також судилося розбиться&lt;br /&gt;</w:t>
        <w:br/>
        <w:t>Колись і десь об гори кам'яні.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Гали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