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помирає людина...</w:t>
      </w:r>
    </w:p>
    <w:p>
      <w:r>
        <w:br/>
        <w:t xml:space="preserve"> * * *</w:t>
      </w:r>
    </w:p>
    <w:p>
      <w:r>
        <w:br/>
        <w:t>Коли помирає людина,&lt;br /&gt;</w:t>
        <w:br/>
        <w:t>Стають іншими її портрети.&lt;br /&gt;</w:t>
        <w:br/>
        <w:t>Інакше дивляться очі, й вуста&lt;br /&gt;</w:t>
        <w:br/>
        <w:t>Посміхаються іншою посмішкою.&lt;br /&gt;</w:t>
        <w:br/>
        <w:t>Я помітила це, повернувшись&lt;br /&gt;</w:t>
        <w:br/>
        <w:t>Після похорону поета.&lt;br /&gt;</w:t>
        <w:br/>
        <w:t>І відтоді перевіряла часто,&lt;br /&gt;</w:t>
        <w:br/>
        <w:t>І мій здогад підтвердився.</w:t>
      </w:r>
    </w:p>
    <w:p>
      <w:r>
        <w:br/>
        <w:t>21 травня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помирає людина...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