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Красотульки</w:t>
      </w:r>
    </w:p>
    <w:p>
      <w:r>
        <w:br/>
        <w:t xml:space="preserve"> У крамницях, у пивницях —&lt;br /&gt;</w:t>
        <w:br/>
        <w:t>Дуськи, Муськи, Люськи.&lt;br /&gt;</w:t>
        <w:br/>
        <w:t>Ти до них — по-українськи,&lt;br /&gt;</w:t>
        <w:br/>
        <w:t>А вони — по-руськи.&lt;br /&gt;</w:t>
        <w:br/>
        <w:t>Станеш глянеш: мамо рідна,&lt;br /&gt;</w:t>
        <w:br/>
        <w:t>Господи мій, Боже!&lt;br /&gt;</w:t>
        <w:br/>
        <w:t>Наяложене, патлате,&lt;br /&gt;</w:t>
        <w:br/>
        <w:t>На чортяку схоже,&lt;br /&gt;</w:t>
        <w:br/>
        <w:t>Стан свинячий, погляд вовчий&lt;br /&gt;</w:t>
        <w:br/>
        <w:t>І усмішка кінська...&lt;br /&gt;</w:t>
        <w:br/>
        <w:t>Нащо таким красотулькам&lt;br /&gt;</w:t>
        <w:br/>
        <w:t>Мова українська?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Красотульки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