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Наш прапор</w:t>
      </w:r>
    </w:p>
    <w:p>
      <w:r>
        <w:br/>
        <w:t xml:space="preserve"> Небеса блакитні&lt;br /&gt;</w:t>
        <w:br/>
        <w:t>сяють з глибини,&lt;br /&gt;</w:t>
        <w:br/>
        <w:t>а пшеничні й житні&lt;br /&gt;</w:t>
        <w:br/>
        <w:t>мерехтять лани.</w:t>
      </w:r>
    </w:p>
    <w:p>
      <w:r>
        <w:br/>
        <w:t>Образ цей не зблідне,&lt;br /&gt;</w:t>
        <w:br/>
        <w:t>хоч минуть жнива.&lt;br /&gt;</w:t>
        <w:br/>
        <w:t>Це знамено рідне —&lt;br /&gt;</w:t>
        <w:br/>
        <w:t>злото й синява.</w:t>
      </w:r>
    </w:p>
    <w:p>
      <w:r>
        <w:br/>
        <w:t>Прапор наш, як літо,&lt;br /&gt;</w:t>
        <w:br/>
        <w:t>в сонці майорить —&lt;br /&gt;</w:t>
        <w:br/>
        <w:t>по долині жито,&lt;br /&gt;</w:t>
        <w:br/>
        <w:t>по горі блакить.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Наш прапор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