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така мила</w:t>
      </w:r>
    </w:p>
    <w:p>
      <w:r>
        <w:br/>
        <w:t xml:space="preserve"> Осінь така мила,&lt;br /&gt;</w:t>
        <w:br/>
        <w:t>Осінь&lt;br /&gt;</w:t>
        <w:br/>
        <w:t>Славна.&lt;br /&gt;</w:t>
        <w:br/>
        <w:t>Осінь матусі їсти несе:&lt;br /&gt;</w:t>
        <w:br/>
        <w:t>Борщик у горщику,&lt;br /&gt;</w:t>
        <w:br/>
        <w:t>Кашка у жменьці,&lt;br /&gt;</w:t>
        <w:br/>
        <w:t>Скибка у пазусі,&lt;br /&gt;</w:t>
        <w:br/>
        <w:t>Грушки у фартушку.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така мила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