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Похований той на розпутті</w:t>
      </w:r>
    </w:p>
    <w:p>
      <w:r>
        <w:br/>
        <w:t xml:space="preserve"> Похований той на розпутті,&lt;br /&gt;</w:t>
        <w:br/>
        <w:t>Хто сам себе вбив, і журлива&lt;br /&gt;</w:t>
        <w:br/>
        <w:t>Блакитная квітка зросла там, –&lt;br /&gt;</w:t>
        <w:br/>
        <w:t>То квітка гріха нещаслива.</w:t>
      </w:r>
    </w:p>
    <w:p>
      <w:r>
        <w:br/>
        <w:t>Холодної, тихої ночі&lt;br /&gt;</w:t>
        <w:br/>
        <w:t>Стою і зітхаю журливо,&lt;br /&gt;</w:t>
        <w:br/>
        <w:t>При місяці тихо леліє&lt;br /&gt;</w:t>
        <w:br/>
        <w:t>Та квітка гріха нещаслива.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Похований той на розпутті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