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Приятелеві</w:t>
      </w:r>
    </w:p>
    <w:p>
      <w:r>
        <w:br/>
        <w:t xml:space="preserve"> Не прикидайся, друже мій,&lt;br /&gt;</w:t>
        <w:br/>
        <w:t>Супернику широкоплечий:&lt;br /&gt;</w:t>
        <w:br/>
        <w:t>Тобі звук ліри не страшний&lt;br /&gt;</w:t>
        <w:br/>
        <w:t>І томні елегійні речі.&lt;br /&gt;</w:t>
        <w:br/>
        <w:t>Дай руку: не ревнивий ти,&lt;br /&gt;</w:t>
        <w:br/>
        <w:t>Я звик у лінощах цвісти,&lt;br /&gt;</w:t>
        <w:br/>
        <w:t>Твоя красуня розум має;&lt;br /&gt;</w:t>
        <w:br/>
        <w:t>Я бачу все і не гнівлюсь:&lt;br /&gt;</w:t>
        <w:br/>
        <w:t>Вона Лаура, кожен знає,&lt;br /&gt;</w:t>
        <w:br/>
        <w:t>Та я в Петрарки не годжусь.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Приятелеві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