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не любиш мене, ти не любиш мене</w:t>
      </w:r>
    </w:p>
    <w:p>
      <w:r>
        <w:br/>
        <w:t xml:space="preserve"> Ти не любиш мене, ти не любиш мене,&lt;br /&gt;</w:t>
        <w:br/>
        <w:t>Я не дуже за теє журюся;&lt;br /&gt;</w:t>
        <w:br/>
        <w:t>Як погляну на личенько любе, ясне,&lt;br /&gt;</w:t>
        <w:br/>
        <w:t>То веселий, мов цар, я роблюся.</w:t>
      </w:r>
    </w:p>
    <w:p>
      <w:r>
        <w:br/>
        <w:t>Ненавидиш мене, те говорять мені&lt;br /&gt;</w:t>
        <w:br/>
        <w:t>Сі коханії уста-рубіни;&lt;br /&gt;</w:t>
        <w:br/>
        <w:t>Але дай поцілую ті уста знадні,&lt;br /&gt;</w:t>
        <w:br/>
        <w:t>То забуду всі прикрі хвилини!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не любиш мене, ти не любиш мене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