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пам'ятаєш, ти прийшов із пристані...</w:t>
      </w:r>
    </w:p>
    <w:p>
      <w:r>
        <w:br/>
        <w:t xml:space="preserve"> Ти пам'ятаєш, ти прийшов із пристані.&lt;br /&gt;</w:t>
        <w:br/>
        <w:t>Такі сади були тоді розхристані.&lt;br /&gt;</w:t>
        <w:br/>
        <w:t>І вся в гірляндах, як індійська жриця,&lt;br /&gt;</w:t>
        <w:br/>
        <w:t>весна ряхтіла в іскорках роси.&lt;br /&gt;</w:t>
        <w:br/>
        <w:t>Плакучі верби не могли журиться,&lt;br /&gt;</w:t>
        <w:br/>
        <w:t>такі були у іволг голоси!&lt;br /&gt;</w:t>
        <w:br/>
        <w:t>А під вікном цвіли у нас троянди.&lt;br /&gt;</w:t>
        <w:br/>
        <w:t>Не вистачало трішечки доби.&lt;br /&gt;</w:t>
        <w:br/>
        <w:t>А по дашку прозорої веранди&lt;br /&gt;</w:t>
        <w:br/>
        <w:t>ходили то дощі, то голуби...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пам'ятаєш, ти прийшов із пристані...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