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біль — як алкоголь агоній</w:t>
      </w:r>
    </w:p>
    <w:p>
      <w:r>
        <w:br/>
        <w:t xml:space="preserve"> Цей біль — як алкоголь агоній,&lt;br /&gt;</w:t>
        <w:br/>
        <w:t>як вимерзлий до хрусту жаль.&lt;br /&gt;</w:t>
        <w:br/>
        <w:t>Передруковуйте прокльони&lt;br /&gt;</w:t>
        <w:br/>
        <w:t>і переписуйте печаль.&lt;br /&gt;</w:t>
        <w:br/>
        <w:t>Давно забуто, що є — жити,&lt;br /&gt;</w:t>
        <w:br/>
        <w:t>I що є — світ, і що є — ти.&lt;br /&gt;</w:t>
        <w:br/>
        <w:t>У власне тіло увійти&lt;br /&gt;</w:t>
        <w:br/>
        <w:t>дано лише несамовитим.&lt;br /&gt;</w:t>
        <w:br/>
        <w:t>А ти ще довго сатаній,&lt;br /&gt;</w:t>
        <w:br/>
        <w:t>ще довго сатаній, допоки&lt;br /&gt;</w:t>
        <w:br/>
        <w:t>помреш, відчувши власні кроки&lt;br /&gt;</w:t>
        <w:br/>
        <w:t>на сивій голові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біль — як алкоголь агоній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