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повітрі грають ворони...</w:t>
      </w:r>
    </w:p>
    <w:p>
      <w:r>
        <w:br/>
        <w:t xml:space="preserve"> У повітрі грають ворони,&lt;br /&gt;</w:t>
        <w:br/>
        <w:t>Значить — от уже й весна...&lt;br /&gt;</w:t>
        <w:br/>
        <w:t>Скільки це разів говорене,&lt;br /&gt;</w:t>
        <w:br/>
        <w:t>А не сказане до дна!</w:t>
      </w:r>
    </w:p>
    <w:p>
      <w:r>
        <w:br/>
        <w:t>Березневою синицею&lt;br /&gt;</w:t>
        <w:br/>
        <w:t>Сад напружений дзвенить,&lt;br /&gt;</w:t>
        <w:br/>
        <w:t>І тебе, смагляволицьої,&lt;br /&gt;</w:t>
        <w:br/>
        <w:t>Я не можу не любить!</w:t>
      </w:r>
    </w:p>
    <w:p>
      <w:r>
        <w:br/>
        <w:t>1 березня 1939 р., Ірпінь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повітрі грають ворони...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