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Їжачок</w:t>
      </w:r>
    </w:p>
    <w:p>
      <w:r>
        <w:br/>
        <w:t xml:space="preserve"> Пошив собі їжачок&lt;br /&gt;</w:t>
        <w:br/>
        <w:t>З будякових колючок&lt;br /&gt;</w:t>
        <w:br/>
        <w:t>Гарнесенький кожушок.</w:t>
      </w:r>
    </w:p>
    <w:p>
      <w:r>
        <w:br/>
        <w:t>Лізе ввечері з кущів,&lt;br /&gt;</w:t>
        <w:br/>
        <w:t>Не боїться він ні псів,&lt;br /&gt;</w:t>
        <w:br/>
        <w:t>Ні лисичок, ні вовків.</w:t>
      </w:r>
    </w:p>
    <w:p>
      <w:r>
        <w:br/>
        <w:t>Хай хтось вкусить — заскавчить,&lt;br /&gt;</w:t>
        <w:br/>
        <w:t>На весь ліс заверещить,&lt;br /&gt;</w:t>
        <w:br/>
        <w:t>На край світа забіжить.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