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Закінчуючи</w:t>
      </w:r>
    </w:p>
    <w:p>
      <w:r>
        <w:br/>
        <w:t xml:space="preserve"> Хто ж потребує слів твоїх?&lt;br /&gt;</w:t>
        <w:br/>
        <w:t>Чи той, що важить хліб і сіль,&lt;br /&gt;</w:t>
        <w:br/>
        <w:t>чи той, що відсотки рахує,&lt;br /&gt;</w:t>
        <w:br/>
        <w:t>чи той, що у безсонну ніч&lt;br /&gt;</w:t>
        <w:br/>
        <w:t>бунтарські зазиви друкує,&lt;br /&gt;</w:t>
        <w:br/>
        <w:t>чи той, кого гарячка палить&lt;br /&gt;</w:t>
        <w:br/>
        <w:t>і з голоду запеклий вже,&lt;br /&gt;</w:t>
        <w:br/>
        <w:t>чи той, що чорні тюрми валить,&lt;br /&gt;</w:t>
        <w:br/>
        <w:t>чи той, що тюрми береже?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Закінчуючи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