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Заноза</w:t>
      </w:r>
    </w:p>
    <w:p>
      <w:r>
        <w:br/>
        <w:t xml:space="preserve"> Сказав якось Федір Галка&lt;br /&gt;</w:t>
        <w:br/>
        <w:t>Занозі Панькові:&lt;br /&gt;</w:t>
        <w:br/>
        <w:t>— Ти чому не розмовляєш&lt;br /&gt;</w:t>
        <w:br/>
        <w:t>На вкраїнській мові?&lt;br /&gt;</w:t>
        <w:br/>
        <w:t>— Зачим вона мінє нада? —&lt;br /&gt;</w:t>
        <w:br/>
        <w:t>Прошипів Заноза. —&lt;br /&gt;</w:t>
        <w:br/>
        <w:t>Што я — дядько тібє, что лі,&lt;br /&gt;</w:t>
        <w:br/>
        <w:t>З какогось колхоза?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Заноза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