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Журавлі</w:t>
      </w:r>
    </w:p>
    <w:p>
      <w:r>
        <w:br/>
        <w:t xml:space="preserve"> Видиш, брате мій,&lt;br /&gt;</w:t>
        <w:br/>
        <w:t>Товаришу мій,&lt;br /&gt;</w:t>
        <w:br/>
        <w:t>Відлітають сірим шнурком&lt;br /&gt;</w:t>
        <w:br/>
        <w:t>Журавлі в вирій.</w:t>
      </w:r>
    </w:p>
    <w:p>
      <w:r>
        <w:br/>
        <w:t>Чути: кру! кру! кру!&lt;br /&gt;</w:t>
        <w:br/>
        <w:t>В чужині умру,&lt;br /&gt;</w:t>
        <w:br/>
        <w:t>Заки море перелечу,&lt;br /&gt;</w:t>
        <w:br/>
        <w:t>Крилонька зітру.</w:t>
      </w:r>
    </w:p>
    <w:p>
      <w:r>
        <w:br/>
        <w:t>Мерехтить в очах&lt;br /&gt;</w:t>
        <w:br/>
        <w:t>Безконечний шлях,&lt;br /&gt;</w:t>
        <w:br/>
        <w:t>Гине, гине в синіх хмарах&lt;br /&gt;</w:t>
        <w:br/>
        <w:t>Слід по журавлях.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